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hint="eastAsia" w:ascii="仿宋_GB2312" w:hAnsi="仿宋_GB2312" w:eastAsia="仿宋_GB2312" w:cs="仿宋_GB2312"/>
          <w:b/>
          <w:bCs w:val="0"/>
          <w:color w:val="333333"/>
          <w:sz w:val="32"/>
          <w:szCs w:val="32"/>
          <w:lang w:bidi="ar"/>
        </w:rPr>
      </w:pPr>
      <w:r>
        <w:rPr>
          <w:rFonts w:hint="eastAsia" w:ascii="仿宋_GB2312" w:hAnsi="仿宋_GB2312" w:eastAsia="仿宋_GB2312" w:cs="仿宋_GB2312"/>
          <w:b/>
          <w:bCs w:val="0"/>
          <w:sz w:val="32"/>
          <w:szCs w:val="32"/>
        </w:rPr>
        <w:t>基本</w:t>
      </w:r>
      <w:r>
        <w:rPr>
          <w:rFonts w:hint="eastAsia" w:ascii="仿宋_GB2312" w:hAnsi="仿宋_GB2312" w:eastAsia="仿宋_GB2312" w:cs="仿宋_GB2312"/>
          <w:b/>
          <w:bCs w:val="0"/>
          <w:color w:val="333333"/>
          <w:sz w:val="32"/>
          <w:szCs w:val="32"/>
          <w:lang w:bidi="ar"/>
        </w:rPr>
        <w:t>概况</w:t>
      </w:r>
      <w:r>
        <w:rPr>
          <w:rFonts w:hint="eastAsia" w:ascii="仿宋_GB2312" w:hAnsi="仿宋_GB2312" w:eastAsia="仿宋_GB2312" w:cs="仿宋_GB2312"/>
          <w:b/>
          <w:bCs w:val="0"/>
          <w:color w:val="333333"/>
          <w:sz w:val="32"/>
          <w:szCs w:val="32"/>
          <w:lang w:bidi="ar"/>
        </w:rPr>
        <w:br w:type="textWrapping"/>
      </w:r>
      <w:r>
        <w:rPr>
          <w:rFonts w:hint="eastAsia" w:ascii="仿宋_GB2312" w:hAnsi="仿宋_GB2312" w:eastAsia="仿宋_GB2312" w:cs="仿宋_GB2312"/>
          <w:b/>
          <w:bCs w:val="0"/>
          <w:sz w:val="32"/>
          <w:szCs w:val="32"/>
        </w:rPr>
        <w:t>部门单位基本情况</w:t>
      </w:r>
      <w:r>
        <w:rPr>
          <w:rFonts w:hint="eastAsia" w:ascii="仿宋_GB2312" w:hAnsi="仿宋_GB2312" w:eastAsia="仿宋_GB2312" w:cs="仿宋_GB2312"/>
          <w:b/>
          <w:bCs w:val="0"/>
          <w:sz w:val="32"/>
          <w:szCs w:val="32"/>
          <w:lang w:val="en-US" w:eastAsia="zh-CN"/>
        </w:rPr>
        <w:t>:</w:t>
      </w:r>
    </w:p>
    <w:p>
      <w:pPr>
        <w:spacing w:line="600" w:lineRule="exact"/>
        <w:ind w:left="648"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1.主要职能：中国共产主义青年团是中国共产党领导的先进青年的群团组织，是广大青年在实践中学习中国特色社会主义和共产主义的学校，是党的助手和后备军。自治区团委主要职责是领导全区共青团的工作；领导自治区青联、学联和少先队工作；指导和管理全区性青少年社会团体的工作。指导全区团的组织建设；协助党组织管理、选拔和培训团的干部。组织全区团员青年在经济建设中发挥生力军和突击队作用；协助政府教育部门做好大、中、小学生的教育管理工作，维护学校稳定和社会安定团结。指导全区青少年的思想教育和宣传文化活动，以及活动阵地建设；培养、选拔、表彰并推荐优秀青年。调查青年思想动态和工作状况，研究青年运动、青少年工作理论和思想教育问题，提出相应的对策，开展各种活动</w:t>
      </w:r>
      <w:r>
        <w:rPr>
          <w:rFonts w:hint="eastAsia" w:ascii="仿宋_GB2312" w:hAnsi="仿宋_GB2312" w:eastAsia="仿宋_GB2312" w:cs="仿宋_GB2312"/>
          <w:b/>
          <w:bCs w:val="0"/>
          <w:sz w:val="32"/>
          <w:szCs w:val="32"/>
        </w:rPr>
        <w:tab/>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（一）组织青年。</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以强化组织动员青年的能力为关键，切实把组织化动员方式与社会化动员方式结合起来，紧紧围绕党政中心工作，广泛有效地团结凝聚青年为促进经济社会发展贡献智慧和力量。</w:t>
      </w:r>
      <w:r>
        <w:rPr>
          <w:rFonts w:hint="eastAsia" w:ascii="仿宋_GB2312" w:hAnsi="仿宋_GB2312" w:eastAsia="仿宋_GB2312" w:cs="仿宋_GB2312"/>
          <w:b/>
          <w:bCs w:val="0"/>
          <w:sz w:val="32"/>
          <w:szCs w:val="32"/>
        </w:rPr>
        <w:cr/>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（二）引导青年。</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坚持不懈地用社会主义核心价值体系教育引导青少年，针对不同领域、不同年龄段青少年思想意识的关键点，探索有效的教育引导方式，坚定广大青少年跟党走中国特色社会主义道路的理想信念。</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（三）服务青年。</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抓住青年最关心、最直接、最现实的困难和问题，把促进青年就业创业作为服务青年的重中之重。</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（四）维护青少年合法权益。</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个结合”：注重把维护青少年合法权益与引导青年的有序政治参与结合起来，把关注个案与关注普遍性的权益问题结合起来，把代表和反映青少年的普遍性利益诉求与相关法律法规的贯彻落实结合起来，探索建立维护青少年合法权益的制度性安排。</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2.机构情况：从单位构成看，中国共产主义青年团新疆维吾尔自治区委员会部门包括：中国共产主义青年团新疆维吾尔自治区委员会本级及下属2家单位。</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中国共产主义青年团新疆维吾尔自治区委员会本级下设12个处室，分别是：办公室、组织部（机关党委）、宣传部、学校部、少年部、权益部、青年发展部、统战联络部、基层组织建设部、西部计划项目办、机关服务中心、志愿者协会。</w:t>
      </w:r>
      <w:r>
        <w:rPr>
          <w:rFonts w:hint="eastAsia" w:ascii="仿宋_GB2312" w:hAnsi="仿宋_GB2312" w:eastAsia="仿宋_GB2312" w:cs="仿宋_GB2312"/>
          <w:b/>
          <w:bCs w:val="0"/>
          <w:sz w:val="32"/>
          <w:szCs w:val="32"/>
        </w:rPr>
        <w:cr/>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本部门中，行政单位1家，事业单位2家，包括：中国共产主义青年团新疆维吾尔自治区委员会、新疆维吾尔自治区团校、新疆维吾尔自治区青少年发展中心</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中国共产主义青年团新疆维吾尔自治区委员会编制数195，实有人数269人，其中：在职186人，增加3人；退休83人，增加1人；离休0人，增加0人。</w:t>
      </w:r>
      <w:bookmarkStart w:id="0" w:name="_Hlk43849111"/>
      <w:bookmarkEnd w:id="0"/>
    </w:p>
    <w:p>
      <w:pPr>
        <w:spacing w:line="600" w:lineRule="exact"/>
        <w:ind w:firstLine="1285" w:firstLineChars="400"/>
        <w:jc w:val="left"/>
        <w:rPr>
          <w:rFonts w:hint="eastAsia" w:ascii="仿宋_GB2312" w:hAnsi="仿宋_GB2312" w:eastAsia="仿宋_GB2312" w:cs="仿宋_GB2312"/>
          <w:b/>
          <w:bCs w:val="0"/>
          <w:i w:val="0"/>
          <w:caps w:val="0"/>
          <w:color w:val="333333"/>
          <w:spacing w:val="0"/>
          <w:sz w:val="32"/>
          <w:szCs w:val="32"/>
          <w:shd w:val="clear" w:fill="FFFFFF"/>
          <w:lang w:val="en-US" w:eastAsia="zh-CN"/>
        </w:rPr>
      </w:pPr>
      <w:r>
        <w:rPr>
          <w:rFonts w:hint="eastAsia" w:ascii="仿宋_GB2312" w:hAnsi="仿宋_GB2312" w:eastAsia="仿宋_GB2312" w:cs="仿宋_GB2312"/>
          <w:b/>
          <w:bCs w:val="0"/>
          <w:color w:val="333333"/>
          <w:sz w:val="32"/>
          <w:szCs w:val="32"/>
          <w:lang w:bidi="ar"/>
        </w:rPr>
        <w:t>部门单位年度重点工作</w:t>
      </w:r>
      <w:r>
        <w:rPr>
          <w:rFonts w:hint="eastAsia" w:ascii="仿宋_GB2312" w:hAnsi="仿宋_GB2312" w:eastAsia="仿宋_GB2312" w:cs="仿宋_GB2312"/>
          <w:b/>
          <w:bCs w:val="0"/>
          <w:color w:val="333333"/>
          <w:sz w:val="32"/>
          <w:szCs w:val="32"/>
          <w:lang w:val="en-US" w:eastAsia="zh-CN" w:bidi="ar"/>
        </w:rPr>
        <w:t>:</w:t>
      </w:r>
    </w:p>
    <w:p>
      <w:pPr>
        <w:spacing w:line="600" w:lineRule="exact"/>
        <w:ind w:left="648"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按照自治区党委、人民政府重点工作部署以及《自治区团委2024年工作要点》，全年自治区团委年度重点工作完成情况如下：</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一、旗帜鲜明加强政治建设，把牢各项工作正确政治方向</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深学细悟习近平新时代中国特色社会主义思想。开展书记会议、理论学习中心组学习、专题研讨等学习活动50余次，严格落实“第一议题”制度，及时传达学习习近平总书记最新重要讲话重要指示批示精神。举行学习贯彻党的二十届三中全会精神宣讲报告会，主要负责同志带头作学习辅导，召开2025年工作务虚会，系统谋划贯彻党的二十届三中全会精神的具体举措，带动全区各级共青团、青联、学联、少先队组织同频共振，广泛开展专题讲座、研讨交流等活动，实现学习宣传全覆盖。</w:t>
      </w:r>
      <w:r>
        <w:rPr>
          <w:rFonts w:hint="eastAsia" w:ascii="仿宋_GB2312" w:hAnsi="仿宋_GB2312" w:eastAsia="仿宋_GB2312" w:cs="仿宋_GB2312"/>
          <w:b/>
          <w:bCs w:val="0"/>
          <w:sz w:val="32"/>
          <w:szCs w:val="32"/>
        </w:rPr>
        <w:cr/>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完善坚持和加强党的全面领导的制度机制。制定《健全完善习近平总书记重要讲话和重要指示批示精神闭环落实机制的实施方案》《自治区团委督查督办工作办法（试行）》，建立闭环落实、督查督办台账，确保习近平总书记重要要求在全区各级团组织落地见效。严格落实民主集中制，凡“三重一大”事项均由集体研究决定。规范执行请示报告制度，全年向自治区党委和团中央请示报告76件，自治区、团中央领导出席自治区团委活动8次、作出批示27次，各项工作在党的领导下有序推进。</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扎实开展党纪学习教育。班子成员带头参加专题读书班，以普通党员身份参加支部组织生活，指导各党支部开展党纪学习教育活动240余场次。落实从严治党主体责任，召开2024年度党的建设和党风廉政建设工作会议、庆祝中国共产党成立103周年“七一”表彰暨第二十六个党风廉政教育月动员大会，一体部署推动党的建设和党纪学习教育走深走实。组织党员干部参加《中国共产党纪律处分条例》解读培训，集中观看《酒之殇 赌之祸》《高悬纪律“戒尺”》等警示片，赴自治区第四监狱接受警示教育，做到明底线、知敬畏、守规矩。</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四）全力配合自治区党委第六轮巡视工作。认真履行主体责任，在自治区党委第十四巡视组监督指导下，第一时间召开巡视工作动员会，先后提供工作资料4批次，配合开展实地考察9次、个别谈话78人次。深入查找问题不足，提交专题汇报材料6篇，及时召开工作情况汇报会，全面客观反映情况，与巡视组同题共答、同向发力，做到以巡促改、以巡促治、以巡促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五）深化整治形式主义为基层减负。落实《整治形式主义为基层减负若干规定》，认真查找机关存在的形式主义、官僚主义问题特别是“表现在基层、根子在上面”的问题，研究制定《自治区团委整治形式主义为基层减负问题整改清单》，精简发文开会数量，清理规范评比达标、示范创建活动，优化督查检查考核工作，推动资源力量充实到基层一线，切实为基层减负、赋能。</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二、聚焦为党育人主责主业，坚持不懈用习近平新时代中国特色社会主义思想凝心铸魂</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常态长效推进团员和青年主题教育。发挥团、队组织优势，围绕习近平总书记重要讲话重要回信贺信精神，每月面向村（社区）、高校、中小学等领域统一开展主题团队课，覆盖青少年300万人，纵深推进“青马工程”，培训学员3.4万人，开展青年讲师团“面对面”宣讲8000余场，受众超40万人，实现党的创新理论学习到支部中队、到基层一线、触达各族青少年。</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（二）加强青少年理想信念教育。结合庆祝新中国成立75周年，推出“缅怀先辈英烈 强国复兴有我”红色研学线路，举行“红领巾爱祖国——我心中的五星红旗”国旗传递、“我与国旗合个影”系列活动，大力推进地县两级少年军校、警校建设。组织开展大学生“三下乡”“大国边疆 青春聚力”系列社会实践活动，大学生社会实践团今年迎来全国各地1.1万余名高校学生，并联合向习近平总书记写信，汇报所思所获，致以青春的敬礼。</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巩固壮大网上主流舆论影响力。建强新疆共青团新媒体矩阵，粉丝总数超1200万、日均阅读量超300万次，先后推出《祖国颂》《站立的地方是中国》等原创作品，广泛宣传《棉花的丰收密码》《数字棉花》等有力批驳涉疆谬论的文化产品，生动展示新时代党的治疆方略的真理力量和实践伟力，全年发布新媒体产品800余个，观看量达12亿、点赞量达1.1亿。</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四）防范化解意识形态领域风险。专项排查整治不规范使用红领巾等少先队标志标识情况，联合自治区党委网信办、公安厅常态开展网络巡查，及时处置“红领巾系法”网络舆情。加强青年群体特别是青年学生思想动态调研监测，会同自治区党委党史和文献研究院、社会工作部形成《关于南疆三地青年群体思想动向的调研报告》，深入4个地州市16所中高职院校开展调研，建立健全风险预警和处置机制，有效防范化解不良思潮影响。</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五）完善党、团、队一体化育人链条。召开自治区少工委七届二次全会，推动区地两级党委分管领导担任同级少工委名誉主任。围绕《自治区党委关于全面加强新时代少先队工作的实施意见》落实情况，班子成员带队赴6个地州市开展专题调研并点对点反馈情况。履行全团带队政治责任，大力推进少先队活动课建设，广泛开展“红领巾奖章”争章和庆“六一”、庆祝少先队建队75周年主题队日活动，健全完善少先队员阶梯式成长激励体系。加强推优入团、推优入党，14—15周岁新入团团员全部经少先队组织推优入团，大学生团员发展党员基本经团组织推优入党。</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三、把牢民族地区工作主线，有形有感有效铸牢青少年中华民族共同体意识</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大力促进青少年交往交流交融。争取援疆省市团委支持，加强兵地共青团融合发展，推动疆内外、南北疆68万名少先队员“书信手拉手”结对，以视频连线方式开展“手拉手”主题队课，往来书信交流90余万封，选派1万名青少年赴援疆省市开展“石榴籽祖国行”交流活动，组织6.4万名青少年参加疆内夏（冬）令营、周末营等融情实践活动。发布《教你学国家通用语言》教学视频30期，面向南疆五地州开办国家通用语言文字培训班，培训农牧民青年1700余人。举办第四届新疆南疆社会面青年学习使用国家通用语言文字大赛，吸引14万人报名参赛，被纳入自治区党委宣传部“文化润疆”重点项目。</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创新实施“我们爱科学”青少年科普教育项目。争取中央彩票公益金880万元资金支持，立足新疆青少年成长发展现状，联合中国少年儿童新闻出版总社专门编写项目用书《科技让生活更美好》、制作配套课程和实验器材包，在喀什地区举行项目启动仪式，动员3000余名西部计划志愿者深入1000所乡镇、村级小学开展科普宣讲和科普作品征集活动，组织2400余名青少年赴全国各地开展科普研学，得到全国政协和自治区党委、团中央领导肯定，相关做法被《全团要讯》专题报道推广。</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（三）广泛开展青少年现代体育活动。配合国家体育总局、自治区体育局在疆开展“奥运冠军面对面”巡回宣讲活动，联合天津市体育局等单位在阿勒泰、和田地区分别举办“奥运冠军进校园”和“阳光巴郎 激情奥运——我与奥运健儿面对面”活动。争取中国青少年发展基金会、姚基金、东润基金会支持，针对喀什地区4所小学实施“追风计划”乡村校园女足扶持项目，面向巴州、喀什、和田等地230所小学开展姚基金希望小学篮球季活动，受益青少年1万余人。举办全区性体育赛事“东润杯”新疆青少年足球邀请赛，选派冠军队伍赴海南参加“东润杯”全国青少年足球总决赛，通过现代体育引导青少年更好融入现代文明生活。</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四）巩固扩大新时代青年爱国统一战线。落实《新时代深化新疆青联改革实施方案》，重点加强县级青联建设，数量增加至43个。发挥青联统战联络作用，指导自治区青联先后举行7次界别交流活动，加强对新兴青年群体的联系服务，建成覆盖1万人的新兴青年群体骨干人才库，深化新疆青年与港澳台青年互访交流，举行新疆—澳门青年企业家洽谈会、香港青年交流促进联会来疆考察等活动，覆盖两地青年100余人。以制定出台《共青团中央关于进一步做好对口支援西藏、新疆工作的指导意见》为契机，系统梳理新疆共青团受援需求，主要负责同志主动赴团中央争取支持，班子成员及各地州市团委负责同志分赴对口支援省市沟通对接，推动新一轮援疆开好局、起好步。</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四、坚持围绕中心服务大局，动员引领各族青年投身中国式现代化新疆实践</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着眼人才引育，推动西部计划提质扩面。项目整体规模达16322人，较2023年增长62.3%，位居各省区市首位，首次实现地州市、县市区全覆盖。坚持聚焦南疆、服务基层，推动73.31%志愿者服务于南疆地区、90.01%服务于乡镇及以下岗位。积极争取留疆政策支持，推动全区公务员、事业单位、司法专岗招考拿出一定比例或名额定向招募西部计划志愿者，综合留疆率提升至32%。配合团中央和人民日报、新华社等中央媒体来疆开展西部计划专题调研采访，志愿者典型事迹被央视新闻频道专题宣传报道。相关工作得到自治区党委主要领导充分肯定，自治区党委常委会会议今年6次对西部计划作出指示要求、1次专门听取汇报，并联合团中央共同召开西部计划新疆专项工作座谈会，团中央主要领导专程来疆出席会议，给予极大指导支持。</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围绕社会稳定，加强重点青少年关爱帮扶。加强与政法、教育、人社等部门的信息共享，深入巴州、和田等地以及中高职院校等重点青少年相对集中的地区、领域，摸排总结重点青少年群体行为特征、个体思想状况和外在表现，了解掌握发展状况和困难诉求，针对性制定《新疆共青团引领服务重点青少年十四条措施》。以区地县团委驻村工作地和全区102个“阳光巴郎”青少年之家项目实施社区为试点，投入经费550万元，针对不同年龄、领域重点青少年，分层分类开展思想引领、权益保护、预防犯罪、关心关爱工作，“阳光巴郎”今年被纳入自治区“法治为民办实事”项目，服务青少年10万余人次。</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聚焦经济发展，以“青”字号品牌引领青年岗位建功。围绕“十大产业集群”建设，新组建青年突击队1178支，重点面向油田、煤矿等生产建设一线开展青年突击队授旗仪式、竞赛比武活动。联合中国青年企业家协会组织27名青年企业家来疆开展“筑梦丝路”新疆行活动，促进投资合作、产业发展，并与自治区党委主要领导会见交流，初步达成投资意向100亿。高质量承办“未来之桥”中国—中亚青年领导人研修交流营（新疆段）活动，促进新疆青年和中亚五国青年深度合作。成功举办自治区首届“振兴杯”青年创新创效大赛，吸引400余名青年职工参赛，参赛项目获专利成果40余项，累计为企业减耗增效超千万元。</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（四）助力乡村振兴，推进乡村振兴青春建功行动。组织召开自治区团委牵头部门单位助力示范乡村振兴工作协调会，深入包联村开展调查研究、走访慰问，举行“科技赋能 惠农增收”活动，扎实推进乡村振兴定点帮扶工作。发挥共青团育人优势，联合自治区农业农村厅、新疆农业大学等单位举办高素质青年农民培育班，培训各族青年400人。深入实施“青耘中国”共青团电商消费帮扶行动，积极参与第四届“中国青年助农年货节”活动，帮助销售新疆农特产品490余万元。</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五、倾情服务青年成长发展，切实当好党联系各族青年的桥梁纽带</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精准帮扶大学生就业。举办第九届自治区高校职场精英挑战大赛，6万余人报名参加，有效帮助在校学生树立正确就业观念、提升就业能力。联合开展2024年自治区高校毕业生招聘会、“千校万岗”系列招聘活动，募集岗位6000余个，服务毕业生1万余人。推进一般院校低收入家庭学生就业帮扶，为1369名学生提供针对性就业指导。广泛实施大学生实习“扬帆计划”、社区实践计划，为1.6万余名大学生提供实习实践岗位。</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竭诚服务青少年成长。发挥希望工程助学兴教作用，资助各族学生11070人、援建希望小学3所。推进实施“伙伴计划”示范项目、社区青春行动，提供陪伴辅导、户外研学等服务，覆盖青少年2万余人。深化“爱心生日会”“团·聚”等共青团品牌项目，服务青少年70万余人次。面向村（社区）开办6600余个“红领巾小课堂”，直接服务少年儿童超20万人次。</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维护青少年合法权益。深化青少年自护教育，指导全区各级团组织开展法治宣传、心理疏导、防震避险等宣传教育活动近4万场次，覆盖青少年360余万人次。举办2024年自治区青少年模拟法庭大赛，引导各族青少年尊法、学法、守法、用法。依托石榴云12345问政平台开设青少年服务咨询专区，加强12355青少年服务台功能建设，解答心理、法律类咨询1100余条。举办2024年“共青团与人大代表、政协委员面对面”座谈活动，以制度化渠道推动解决青少年诉求。</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六、推进新疆共青团改革和建设，不断提升工作科学化、规范化水平</w:t>
      </w:r>
      <w:r>
        <w:rPr>
          <w:rFonts w:hint="eastAsia" w:ascii="仿宋_GB2312" w:hAnsi="仿宋_GB2312" w:eastAsia="仿宋_GB2312" w:cs="仿宋_GB2312"/>
          <w:b/>
          <w:bCs w:val="0"/>
          <w:sz w:val="32"/>
          <w:szCs w:val="32"/>
        </w:rPr>
        <w:cr/>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一）全面加强组织体系建设。巩固深化县域共青团基层组织改革成果，重点加大行业系统、“两企三新”领域团建力度，自治区层面先后成立消防、邮政、快递、国资系统团工委，带动各地州市新建30个行业系统团工委、49个互联网企业团组织，累计新建“两企三新”领域团组织640个、开办“青年夜校”200余家，推动“青年之家”总数增长至1800个。加强对各地团务工作的动态督查，整顿软弱涣散团组织283个，处理处置超大、空壳团支部921个，团组织规范化建设质量不断提升。</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二）加强和改进团员发展管理工作。坚持从政治上看待全区团员发展不足问题，主动向团中央争取更多团员发展名额，修订实施《关于加强和改进团员发展工作的若干规定》，今年以来新发展团员17.2万人，抽查新发展团员档案5000余份，团员队伍规模结构得到优化，团员发展科学化、规范化水平进一步提升。持续加强团员队伍教育管理，严肃团内组织生活，坚持以团支部为单元开展专题学习，推动团组织关系“学社衔接”率达到97.6%，团员队伍生机活力进一步增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三）从严抓好团干部队伍建设。在巴州组织召开全区共青团基层组织建设现场推进会，手把手教方法、明思路，帮助基层团干部解决不会干、干不好的突出问题。举办自治区本级团干部教育培训主体班21期，培训基层团干部1945人。推动团干部培训纳入全区干部教育培训整体规划，统筹用好中央团校、各级党委党校调训资源，指导各地州市团委主动争取对口援疆省市团干部培训资源，逐步实现基层团干部教育培训全覆盖。强化团干部协管，地县专职团干部配备率、在岗率达90%以上，“有编未配”和“随意抽调”问题有效解决，团的队伍力量不断充实。</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过去一年，虽然取得了一些成绩，但距离党委要求和青年期盼还存在差距：一是思想政治引领内容供给体系不够完善，对多元社会思潮下青年群体思想动向把握不足，结合新疆区情社情开展舆论引导不够，有针对性、影响力的宣传思想文化精品产出不多。二是西部计划服务保障工作面临较大压力，部分地州市和县市区团委工作力量有限，志愿者服务管理保障出现“小马拉大车”情况，不具备科学化、规范化管理的人力基础。三是组织动员青年体制机制较为陈旧僵化，现有“青”字号品牌内容固化，缺乏新的时代内涵，存在“敲边鼓”“跑龙套”现象，把握新疆发展机遇、搭建青年建功平台作用有限。四是联系服务新兴青年群体不够常态紧密，“两企三新”领域团建工作尚未完全破题，组织设置与适应青年结构分化、流动频繁等特性方面存在一定错位，仍有一批青年群体游离在团组织覆盖之外。新的一年，我们将持续深入学习贯彻党的二十大和二十届二中、三中全会精神，贯彻落实习近平总书记关于青年工作的重要思想，完整准确全面贯彻新时代党的治疆方略，坚持问题导向和目标导向相结合，以筹备召开自治区团委十四届三次全会为牵动，系统谋划今后一段时期的重点工作任务和改革举措，努力推动工作体系更加完善、制度机制更加优化、理念方法更加先进，更好发挥桥梁纽带作用，团结带领各族青年为建设美丽新疆作出新的青春贡献。</w:t>
      </w:r>
    </w:p>
    <w:p>
      <w:pPr>
        <w:spacing w:line="600" w:lineRule="exact"/>
        <w:ind w:left="648" w:firstLine="643" w:firstLineChars="200"/>
        <w:jc w:val="left"/>
        <w:rPr>
          <w:rFonts w:hint="eastAsia" w:ascii="仿宋_GB2312" w:hAnsi="仿宋_GB2312" w:eastAsia="仿宋_GB2312" w:cs="仿宋_GB2312"/>
          <w:b/>
          <w:bCs w:val="0"/>
          <w:i w:val="0"/>
          <w:caps w:val="0"/>
          <w:color w:val="333333"/>
          <w:spacing w:val="0"/>
          <w:sz w:val="32"/>
          <w:szCs w:val="32"/>
          <w:shd w:val="clear" w:fill="FFFFFF"/>
          <w:lang w:val="en-US" w:eastAsia="zh-CN"/>
        </w:rPr>
      </w:pPr>
      <w:r>
        <w:rPr>
          <w:rFonts w:hint="eastAsia" w:ascii="仿宋_GB2312" w:hAnsi="仿宋_GB2312" w:eastAsia="仿宋_GB2312" w:cs="仿宋_GB2312"/>
          <w:b/>
          <w:bCs w:val="0"/>
          <w:color w:val="333333"/>
          <w:sz w:val="32"/>
          <w:szCs w:val="32"/>
          <w:lang w:bidi="ar"/>
        </w:rPr>
        <w:t>部门单位整体预算规模及安排情况</w:t>
      </w:r>
      <w:r>
        <w:rPr>
          <w:rFonts w:hint="eastAsia" w:ascii="仿宋_GB2312" w:hAnsi="仿宋_GB2312" w:eastAsia="仿宋_GB2312" w:cs="仿宋_GB2312"/>
          <w:b/>
          <w:bCs w:val="0"/>
          <w:color w:val="333333"/>
          <w:sz w:val="32"/>
          <w:szCs w:val="32"/>
          <w:lang w:val="en-US" w:eastAsia="zh-CN" w:bidi="ar"/>
        </w:rPr>
        <w:t>:</w:t>
      </w:r>
    </w:p>
    <w:p>
      <w:pPr>
        <w:spacing w:line="600" w:lineRule="exact"/>
        <w:ind w:left="648"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本部门年初预算安排数11253.45万元（其中转移支付2872.78万元），年中调整追加2484.04万元，主要为西部计划活动费、西部计划座谈会经费、团校运动场改造项目经费、驻村工作经费、丧葬费抚恤金、工资调整费用、结亲交通费、职业年金以及人员变动追加经费等。</w:t>
      </w:r>
    </w:p>
    <w:p>
      <w:pPr>
        <w:spacing w:line="600" w:lineRule="exact"/>
        <w:ind w:left="648" w:firstLine="643" w:firstLineChars="200"/>
        <w:jc w:val="left"/>
        <w:rPr>
          <w:rFonts w:hint="eastAsia" w:ascii="仿宋_GB2312" w:hAnsi="仿宋_GB2312" w:eastAsia="仿宋_GB2312" w:cs="仿宋_GB2312"/>
          <w:b/>
          <w:bCs w:val="0"/>
          <w:i w:val="0"/>
          <w:caps w:val="0"/>
          <w:color w:val="333333"/>
          <w:spacing w:val="0"/>
          <w:sz w:val="32"/>
          <w:szCs w:val="32"/>
          <w:shd w:val="clear" w:fill="FFFFFF"/>
        </w:rPr>
      </w:pPr>
      <w:bookmarkStart w:id="1" w:name="_GoBack"/>
      <w:bookmarkEnd w:id="1"/>
      <w:r>
        <w:rPr>
          <w:rFonts w:hint="eastAsia" w:ascii="仿宋_GB2312" w:hAnsi="仿宋_GB2312" w:eastAsia="仿宋_GB2312" w:cs="仿宋_GB2312"/>
          <w:b/>
          <w:bCs w:val="0"/>
          <w:sz w:val="32"/>
          <w:szCs w:val="32"/>
        </w:rPr>
        <w:t>基本支出主要包括基本工资、津贴补贴、奖金、伙食补助费、绩效工资、机关事业单位基本养老保险缴费、职业年金缴费、职工基本医疗保险缴费、公务员医疗保险缴费、住房公积金、办公费、印刷费、水费、电费、邮电费、取暖费、物业管理费、差旅费、维修（护）费、会议费、培训费、劳务费、委托业务费、工会经费、福利费、公务用车运行维护费、其他交通费用、税金及附加费用、其他商品和服务支出、办公设备购置等。</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项目支出主要包括共青团重点工作支出、团干部培支出、团代会支出、青学联换届大会支出、西部计划大学生志愿者相关经费支出、团费支出、团校及发展中心专项业务费支出等。</w:t>
      </w:r>
    </w:p>
    <w:p>
      <w:pPr>
        <w:numPr>
          <w:ilvl w:val="0"/>
          <w:numId w:val="1"/>
        </w:numPr>
        <w:snapToGrid w:val="0"/>
        <w:spacing w:line="540" w:lineRule="exact"/>
        <w:rPr>
          <w:rFonts w:hint="eastAsia" w:ascii="仿宋_GB2312" w:hAnsi="仿宋_GB2312" w:eastAsia="仿宋_GB2312" w:cs="仿宋_GB2312"/>
          <w:b/>
          <w:bCs w:val="0"/>
          <w:color w:val="333333"/>
          <w:sz w:val="32"/>
          <w:szCs w:val="32"/>
          <w:lang w:bidi="ar"/>
        </w:rPr>
      </w:pPr>
      <w:r>
        <w:rPr>
          <w:rFonts w:hint="eastAsia" w:ascii="仿宋_GB2312" w:hAnsi="仿宋_GB2312" w:eastAsia="仿宋_GB2312" w:cs="仿宋_GB2312"/>
          <w:b/>
          <w:bCs w:val="0"/>
          <w:color w:val="333333"/>
          <w:sz w:val="32"/>
          <w:szCs w:val="32"/>
          <w:lang w:bidi="ar"/>
        </w:rPr>
        <w:t>部门单位整体支出管理及使用情况</w:t>
      </w:r>
    </w:p>
    <w:p>
      <w:pPr>
        <w:spacing w:line="60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2024年度团委部门整体支出13737.49万元（包括自治区转移支付资金2872.78万元），包括基本支出及项目支出。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基本支出用于为保障机构正常运转、完成日常工作任务而发生的支出，包括人员经费和公用经费。2024年年初预算3714.53万元，2024年度本单位基本支出共计4126.29万元。财政追加经费411.76万元，追加经费包括“访惠聚”工作经费、丧葬费、抚恤金、职业年金、支教干部生活补助、结对认亲走访活动交通费等。其中，人员经费支出3693.8万元，公用经费支出432.49万元。</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项目支出情况：</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1.专项资金安排落实、总投入等情况分析。</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2024年预算安排专项资金4766.14万元，实际收到5759.61万元,本年追加的专项资金为993.47万元。追加主要原因为西部计划活动经费、团校运动场改造项目经费为年中追加经费。</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2.专项资金实际使用情况分析。</w:t>
      </w:r>
      <w:r>
        <w:rPr>
          <w:rFonts w:hint="eastAsia" w:ascii="仿宋_GB2312" w:hAnsi="仿宋_GB2312" w:eastAsia="仿宋_GB2312" w:cs="仿宋_GB2312"/>
          <w:b/>
          <w:bCs w:val="0"/>
          <w:sz w:val="32"/>
          <w:szCs w:val="32"/>
        </w:rPr>
        <w:cr/>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西部计划工资补助资金收支354.59万元，主要用于向自治区本级单位服务的西部计划志愿者发放工资及缴纳社保，以及为全疆在岗服务志愿者购买商业保险；</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西部计划培训派遣经费支出1122.95万元，主要用于新招募西部计划志愿者培训、派遣，以及全疆在岗服务志愿者慰问；</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共青团工作经费支出435.86万元，主要用于全年共青团重点工作开展；</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西部计划座谈会9.36万元，主要用于西部计划志愿者座谈会会议支出；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新时代党的治疆方略课题研究0.61万元，主要用于课题研究费用支出；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天山英才培养计划17万元，主要用于新疆青少年出版社天山英才培养支出；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共青团阳光巴郎专项收支750万元，主要使用自治区彩票公益金开展共青团社区专项活动；</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我们爱科学科普教育支出879.82万元，主要用于全区1000所村社区学校开展科普教育及研学支出；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团费及其他收支240.84万元，主要用于全区团的专项支出；</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团干部培训经费收支200万元，主要用于全区团干部培训；</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国际青年交流大厦运维费收支245万元，主要用于团校国际青年交流大厦运行维护费；</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团校运动场改造项目775.5万元，主要用于团校体育馆改造及设备购置；</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团校专项业务费收支238.18万元，主要用于其他团校专项业务费；</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团校经营收支192.8万元，主要用于弥补国际青年交流大厦经费不足；</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rPr>
        <w:t>发展中心经营收支111.11万元，主要用于弥补经费不足以及开展专项活动成本。</w:t>
      </w:r>
    </w:p>
    <w:p>
      <w:pPr>
        <w:numPr>
          <w:ilvl w:val="0"/>
          <w:numId w:val="1"/>
        </w:numPr>
        <w:snapToGrid w:val="0"/>
        <w:spacing w:line="540" w:lineRule="exact"/>
        <w:rPr>
          <w:rFonts w:hint="eastAsia" w:ascii="仿宋_GB2312" w:hAnsi="仿宋_GB2312" w:eastAsia="仿宋_GB2312" w:cs="仿宋_GB2312"/>
          <w:b/>
          <w:bCs w:val="0"/>
          <w:color w:val="333333"/>
          <w:sz w:val="32"/>
          <w:szCs w:val="32"/>
          <w:lang w:bidi="ar"/>
        </w:rPr>
      </w:pPr>
      <w:r>
        <w:rPr>
          <w:rFonts w:hint="eastAsia" w:ascii="仿宋_GB2312" w:hAnsi="仿宋_GB2312" w:eastAsia="仿宋_GB2312" w:cs="仿宋_GB2312"/>
          <w:b/>
          <w:bCs w:val="0"/>
          <w:color w:val="333333"/>
          <w:sz w:val="32"/>
          <w:szCs w:val="32"/>
          <w:lang w:bidi="ar"/>
        </w:rPr>
        <w:t>部门单位专项组织实施情况</w:t>
      </w:r>
    </w:p>
    <w:p>
      <w:pPr>
        <w:numPr>
          <w:ilvl w:val="0"/>
          <w:numId w:val="2"/>
        </w:numPr>
        <w:spacing w:line="600" w:lineRule="exact"/>
        <w:ind w:left="638" w:leftChars="304" w:firstLine="0" w:firstLineChars="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指标一：</w:t>
      </w:r>
    </w:p>
    <w:p>
      <w:pPr>
        <w:numPr>
          <w:numId w:val="0"/>
        </w:numPr>
        <w:spacing w:line="60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2024年设置履职效能数量指标1为全年全区共青团专项活动开展次数大于等于10次，实际全年完成专项重点活动次数12次。一年来，我们坚持以习近平新时代中国特色社会主义思想为指导，全面贯彻党的二十大精神，深入贯彻习近平总书记关于青年工作的重要思想，完整准确全面贯彻新时代党的治疆方略，贯彻落实自治区党委和团中央工作部署，立足党的事业后继有人这一根本大计，切实履行引领凝聚青年、组织动员青年、联系服务青年基本职责，积极进取、真抓实干，以实际行动团结带领各族青年为在中国式现代化进程中更好建设美丽新疆贡献青春力量。</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2024年自治区团委坚持将党的领导作为立身之本，强化政治锻造，始终恪守“党旗所指就是团旗所向”；自治区团委立足政治学校功能定位，坚持为党育人，努力培养更多堪当民族复兴重任的时代新人；自治区团委勇担先锋力量职责使命，加强组织动员，持续汇聚更好建设美丽新疆的磅礴青春合力；自治区团委发挥桥梁纽带关键作用，竭诚服务青年，不断营造促进各族青年成长发展的良好环境；自治区团委锚定先进组织建设目标，深化自身建设，为推动新疆共青团和青少年事业发展提供坚强保证。</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（二）指标二：</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2024年设置履职效能数量指标2为全年招募西部计划志愿者人数大于等于3000人，实际全年完成招募西部计划中央项目人数8454人。项目推动大学生志愿服务西部计划项目在岗服务人数超过1.1万人，超80%充实到南疆五地州和基层一线，成为吸引青年来疆奉献、为基层治理提供人才支撑的重要渠道。成功举办全区西部计划座谈会，不断健全管理培养服务工作体系，积极争取留疆政策支持，帮助更多西部计划志愿者在疆成长、留疆发展。</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（三）指标三：</w:t>
      </w:r>
      <w:r>
        <w:rPr>
          <w:rFonts w:hint="eastAsia" w:ascii="仿宋_GB2312" w:hAnsi="仿宋_GB2312" w:eastAsia="仿宋_GB2312" w:cs="仿宋_GB2312"/>
          <w:b/>
          <w:bCs w:val="0"/>
          <w:sz w:val="32"/>
          <w:szCs w:val="32"/>
        </w:rPr>
        <w:br w:type="textWrapping"/>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rPr>
        <w:t>2024年设置履职效能数量指标3为全年团干部培训人数大于等于1700人，实际全年完成2100人，发充分发挥新疆团校教育教学资源优势，加强团干部教育培训，进一步提升团干部能力水平。</w:t>
      </w:r>
    </w:p>
    <w:p>
      <w:pPr>
        <w:numPr>
          <w:ilvl w:val="0"/>
          <w:numId w:val="1"/>
        </w:numPr>
        <w:snapToGrid w:val="0"/>
        <w:spacing w:line="540" w:lineRule="exact"/>
        <w:rPr>
          <w:rFonts w:hint="eastAsia" w:ascii="仿宋_GB2312" w:hAnsi="仿宋_GB2312" w:eastAsia="仿宋_GB2312" w:cs="仿宋_GB2312"/>
          <w:b/>
          <w:bCs w:val="0"/>
          <w:color w:val="333333"/>
          <w:sz w:val="32"/>
          <w:szCs w:val="32"/>
          <w:lang w:bidi="ar"/>
        </w:rPr>
      </w:pPr>
      <w:r>
        <w:rPr>
          <w:rFonts w:hint="eastAsia" w:ascii="仿宋_GB2312" w:hAnsi="仿宋_GB2312" w:eastAsia="仿宋_GB2312" w:cs="仿宋_GB2312"/>
          <w:b/>
          <w:bCs w:val="0"/>
          <w:color w:val="333333"/>
          <w:sz w:val="32"/>
          <w:szCs w:val="32"/>
          <w:lang w:eastAsia="zh-CN" w:bidi="ar"/>
        </w:rPr>
        <w:t>评价结论</w:t>
      </w:r>
    </w:p>
    <w:p>
      <w:pPr>
        <w:spacing w:line="60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2024年度部门整体支出绩效自评综合得分90分，评价结果为“优”。</w:t>
      </w:r>
    </w:p>
    <w:p>
      <w:pPr>
        <w:numPr>
          <w:ilvl w:val="0"/>
          <w:numId w:val="1"/>
        </w:numPr>
        <w:snapToGrid w:val="0"/>
        <w:spacing w:line="540" w:lineRule="exact"/>
        <w:rPr>
          <w:rFonts w:hint="eastAsia" w:ascii="仿宋_GB2312" w:hAnsi="仿宋_GB2312" w:eastAsia="仿宋_GB2312" w:cs="仿宋_GB2312"/>
          <w:b/>
          <w:bCs w:val="0"/>
          <w:color w:val="333333"/>
          <w:sz w:val="32"/>
          <w:szCs w:val="32"/>
          <w:lang w:bidi="ar"/>
        </w:rPr>
      </w:pPr>
      <w:r>
        <w:rPr>
          <w:rFonts w:hint="eastAsia" w:ascii="仿宋_GB2312" w:hAnsi="仿宋_GB2312" w:eastAsia="仿宋_GB2312" w:cs="仿宋_GB2312"/>
          <w:b/>
          <w:bCs w:val="0"/>
          <w:i w:val="0"/>
          <w:caps w:val="0"/>
          <w:color w:val="333333"/>
          <w:spacing w:val="0"/>
          <w:sz w:val="32"/>
          <w:szCs w:val="32"/>
          <w:shd w:val="clear" w:fill="FFFFFF"/>
        </w:rPr>
        <w:t>存在的主要问题及原因分析：</w:t>
      </w:r>
    </w:p>
    <w:p>
      <w:pPr>
        <w:spacing w:line="60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color w:val="333333"/>
          <w:sz w:val="32"/>
          <w:szCs w:val="32"/>
          <w:lang w:bidi="ar"/>
        </w:rPr>
        <w:t xml:space="preserve"> </w:t>
      </w:r>
      <w:r>
        <w:rPr>
          <w:rFonts w:hint="eastAsia" w:ascii="仿宋_GB2312" w:hAnsi="仿宋_GB2312" w:eastAsia="仿宋_GB2312" w:cs="仿宋_GB2312"/>
          <w:b/>
          <w:bCs w:val="0"/>
          <w:sz w:val="32"/>
          <w:szCs w:val="32"/>
        </w:rPr>
        <w:t>一是绩效理念尚未牢固树立。个别部（室）和直属单位对全面实施预算绩效管理的重要性认识不足，全过程预算管理链条不够完善，事中跟踪问效还需加大力度；二是部分工作扎堆在下半年开展，导致一些项目预算执行进度较慢。</w:t>
      </w:r>
    </w:p>
    <w:p>
      <w:pPr>
        <w:numPr>
          <w:ilvl w:val="0"/>
          <w:numId w:val="1"/>
        </w:numPr>
        <w:snapToGrid w:val="0"/>
        <w:spacing w:line="540" w:lineRule="exact"/>
        <w:rPr>
          <w:rFonts w:hint="eastAsia" w:ascii="仿宋_GB2312" w:hAnsi="仿宋_GB2312" w:eastAsia="仿宋_GB2312" w:cs="仿宋_GB2312"/>
          <w:b/>
          <w:bCs w:val="0"/>
          <w:color w:val="333333"/>
          <w:sz w:val="32"/>
          <w:szCs w:val="32"/>
          <w:lang w:bidi="ar"/>
        </w:rPr>
      </w:pPr>
      <w:r>
        <w:rPr>
          <w:rFonts w:hint="eastAsia" w:ascii="仿宋_GB2312" w:hAnsi="仿宋_GB2312" w:eastAsia="仿宋_GB2312" w:cs="仿宋_GB2312"/>
          <w:b/>
          <w:bCs w:val="0"/>
          <w:color w:val="333333"/>
          <w:sz w:val="32"/>
          <w:szCs w:val="32"/>
          <w:lang w:bidi="ar"/>
        </w:rPr>
        <w:t>改进措施和建议</w:t>
      </w:r>
    </w:p>
    <w:p>
      <w:pPr>
        <w:spacing w:line="600" w:lineRule="exact"/>
        <w:ind w:firstLine="643" w:firstLineChars="200"/>
        <w:jc w:val="left"/>
      </w:pPr>
      <w:r>
        <w:rPr>
          <w:rFonts w:hint="eastAsia" w:ascii="仿宋_GB2312" w:hAnsi="仿宋_GB2312" w:eastAsia="仿宋_GB2312" w:cs="仿宋_GB2312"/>
          <w:b/>
          <w:bCs w:val="0"/>
          <w:sz w:val="32"/>
          <w:szCs w:val="32"/>
        </w:rPr>
        <w:t>一是建立健全绩效目标汇总体系。梳理汇总全年绩效项目预算制定、项目执行和项目效果的整体情况，形成完善指标特性库。二是完善绩效评价反馈制度。建立绩效评估评价体系，对项目绩效的结果、成效进行全方位总结。适应常态化疫情防控要求，不断创新工作方式方法，确保财政资金合理合规有序执行。三是加强绩效管理工作培训指导力度。加大对财务人员和各部（室）、各直属单位干部职工培训力度，提高预算绩效管理水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8CF938"/>
    <w:multiLevelType w:val="singleLevel"/>
    <w:tmpl w:val="908CF938"/>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0NTE0ZjhhNmE5ZDk5OWZlNDA4NmNiNzYwZDgyNzA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314578A"/>
    <w:rsid w:val="12350D4C"/>
    <w:rsid w:val="2DF23514"/>
    <w:rsid w:val="376016E5"/>
    <w:rsid w:val="78C95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9508</Words>
  <Characters>9881</Characters>
  <Lines>2</Lines>
  <Paragraphs>1</Paragraphs>
  <TotalTime>8</TotalTime>
  <ScaleCrop>false</ScaleCrop>
  <LinksUpToDate>false</LinksUpToDate>
  <CharactersWithSpaces>9911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2025-08-22T03:33:58Z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71E4D4A2730A45369D8BAB7F62018372_13</vt:lpwstr>
  </property>
</Properties>
</file>